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cycle represents the enthalpy changes </w:t>
      </w:r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</w:rPr>
        <w:t>, occurring when an</w:t>
      </w:r>
      <w:r>
        <w:rPr>
          <w:rFonts w:ascii="Arial" w:hAnsi="Arial" w:cs="Arial"/>
        </w:rPr>
        <w:br/>
        <w:t xml:space="preserve"> ionic solute, AX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(s), dissolves in water.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210pt">
            <v:imagedata r:id="rId4" o:title=""/>
          </v:shape>
        </w:pic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of the changes is the lattice energy of AX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(s)?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6" type="#_x0000_t75" style="width:11.25pt;height:11.25pt">
            <v:imagedata r:id="rId5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</w:t>
      </w:r>
      <w:r>
        <w:rPr>
          <w:rFonts w:ascii="Arial" w:hAnsi="Arial" w:cs="Arial"/>
          <w:b/>
          <w:bCs/>
        </w:rPr>
        <w:t>½</w:t>
      </w:r>
      <w:r>
        <w:rPr>
          <w:rFonts w:ascii="Arial" w:hAnsi="Arial" w:cs="Arial"/>
          <w:b/>
          <w:bCs/>
        </w:rPr>
        <w:t xml:space="preserve"> w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7" type="#_x0000_t75" style="width:11.25pt;height:11.25pt">
            <v:imagedata r:id="rId5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</w:t>
      </w:r>
      <w:r>
        <w:rPr>
          <w:rFonts w:ascii="Arial" w:hAnsi="Arial" w:cs="Arial"/>
          <w:b/>
          <w:bCs/>
        </w:rPr>
        <w:t>−</w:t>
      </w:r>
      <w:r>
        <w:rPr>
          <w:rFonts w:ascii="Arial" w:hAnsi="Arial" w:cs="Arial"/>
          <w:b/>
          <w:bCs/>
        </w:rPr>
        <w:t xml:space="preserve"> w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8" type="#_x0000_t75" style="width:11.25pt;height:11.25pt">
            <v:imagedata r:id="rId5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</w:t>
      </w:r>
      <w:r>
        <w:rPr>
          <w:rFonts w:ascii="Arial" w:hAnsi="Arial" w:cs="Arial"/>
          <w:b/>
          <w:bCs/>
        </w:rPr>
        <w:t>z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9" type="#_x0000_t75" style="width:11.25pt;height:11.25pt">
            <v:imagedata r:id="rId5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</w:t>
      </w:r>
      <w:r>
        <w:rPr>
          <w:rFonts w:ascii="Arial" w:hAnsi="Arial" w:cs="Arial"/>
          <w:b/>
          <w:bCs/>
        </w:rPr>
        <w:t xml:space="preserve">z </w:t>
      </w:r>
      <w:r>
        <w:rPr>
          <w:rFonts w:ascii="Arial" w:hAnsi="Arial" w:cs="Arial"/>
          <w:b/>
          <w:bCs/>
        </w:rPr>
        <w:t>−</w:t>
      </w:r>
      <w:r>
        <w:rPr>
          <w:rFonts w:ascii="Arial" w:hAnsi="Arial" w:cs="Arial"/>
          <w:b/>
          <w:bCs/>
        </w:rPr>
        <w:t xml:space="preserve"> x </w:t>
      </w:r>
      <w:r>
        <w:rPr>
          <w:rFonts w:ascii="Arial" w:hAnsi="Arial" w:cs="Arial"/>
          <w:b/>
          <w:bCs/>
        </w:rPr>
        <w:t>−</w:t>
      </w:r>
      <w:r>
        <w:rPr>
          <w:rFonts w:ascii="Arial" w:hAnsi="Arial" w:cs="Arial"/>
          <w:b/>
          <w:bCs/>
        </w:rPr>
        <w:t xml:space="preserve"> y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051A9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rPr>
          <w:rFonts w:ascii="Arial" w:hAnsi="Arial" w:cs="Arial"/>
        </w:rPr>
      </w:pPr>
      <w:r>
        <w:rPr>
          <w:rFonts w:ascii="Arial" w:hAnsi="Arial" w:cs="Arial"/>
        </w:rPr>
        <w:t>The equation for the enthalpy of hydration for a magnesium ion is</w:t>
      </w:r>
    </w:p>
    <w:p w:rsidR="00000000" w:rsidRDefault="001051A9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0" type="#_x0000_t75" style="width:11.25pt;height:11.25pt">
            <v:imagedata r:id="rId5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Mg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(s) + aq </w:t>
      </w:r>
      <w:r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Mg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(aq)</w:t>
      </w:r>
    </w:p>
    <w:p w:rsidR="00000000" w:rsidRDefault="001051A9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1" type="#_x0000_t75" style="width:11.25pt;height:11.25pt">
            <v:imagedata r:id="rId5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Mg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(g) + aq </w:t>
      </w:r>
      <w:r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Mg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(aq)</w:t>
      </w:r>
    </w:p>
    <w:p w:rsidR="00000000" w:rsidRDefault="001051A9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2" type="#_x0000_t75" style="width:11.25pt;height:11.25pt">
            <v:imagedata r:id="rId5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Mg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(aq) </w:t>
      </w:r>
      <w:r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Mg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(g) + aq</w:t>
      </w:r>
    </w:p>
    <w:p w:rsidR="00000000" w:rsidRDefault="001051A9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3" type="#_x0000_t75" style="width:11.25pt;height:11.25pt">
            <v:imagedata r:id="rId5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Mg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(aq) </w:t>
      </w:r>
      <w:r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Mg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(s) + aq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Energy is evolved when one mole of gaseous calcium ions is hydrated.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4" type="#_x0000_t75" style="width:150.75pt;height:18pt">
            <v:imagedata r:id="rId6" o:title=""/>
          </v:shape>
        </w:pic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This reaction is more exothermic than the corresponding value for barium ions, Ba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, because the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5" type="#_x0000_t75" style="width:11.25pt;height:11.25pt">
            <v:imagedata r:id="rId5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>ionizati</w:t>
      </w:r>
      <w:r>
        <w:rPr>
          <w:rFonts w:ascii="Arial" w:hAnsi="Arial" w:cs="Arial"/>
        </w:rPr>
        <w:t>on energy of calcium is greater than that of barium.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6" type="#_x0000_t75" style="width:11.25pt;height:11.25pt">
            <v:imagedata r:id="rId5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>lattice energy of calcium oxide is more exothermic than that of barium oxide.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7" type="#_x0000_t75" style="width:11.25pt;height:11.25pt">
            <v:imagedata r:id="rId5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>solubility of calcium hydroxide in w</w:t>
      </w:r>
      <w:r>
        <w:rPr>
          <w:rFonts w:ascii="Arial" w:hAnsi="Arial" w:cs="Arial"/>
        </w:rPr>
        <w:t>ater is less than that of barium hydroxide.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8" type="#_x0000_t75" style="width:11.25pt;height:11.25pt">
            <v:imagedata r:id="rId5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>ionic radius of Ca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is less than that of Ba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reaction has an enthalpy change equal to the enthalpy of hydration of the sodium ion?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9" type="#_x0000_t75" style="width:11.25pt;height:11.25pt">
            <v:imagedata r:id="rId5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</w:t>
      </w:r>
      <w:r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(g) + excess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O(l) </w:t>
      </w:r>
      <w:r>
        <w:rPr>
          <w:rFonts w:ascii="Arial" w:hAnsi="Arial" w:cs="Arial"/>
        </w:rPr>
        <w:t>    →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Na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(aq)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0" type="#_x0000_t75" style="width:11.25pt;height:11.25pt">
            <v:imagedata r:id="rId5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</w:t>
      </w:r>
      <w:r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(g) + 1 mol of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O(l) </w:t>
      </w:r>
      <w:r>
        <w:rPr>
          <w:rFonts w:ascii="Arial" w:hAnsi="Arial" w:cs="Arial"/>
        </w:rPr>
        <w:t> →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Na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(aq</w:t>
      </w:r>
      <w:r>
        <w:rPr>
          <w:rFonts w:ascii="Arial" w:hAnsi="Arial" w:cs="Arial"/>
        </w:rPr>
        <w:t>)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1" type="#_x0000_t75" style="width:11.25pt;height:11.25pt">
            <v:imagedata r:id="rId5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</w:t>
      </w:r>
      <w:r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(s) + excess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O(l) </w:t>
      </w:r>
      <w:r>
        <w:rPr>
          <w:rFonts w:ascii="Arial" w:hAnsi="Arial" w:cs="Arial"/>
        </w:rPr>
        <w:t>    →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Na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(aq)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2" type="#_x0000_t75" style="width:11.25pt;height:11.25pt">
            <v:imagedata r:id="rId5" o:title=""/>
          </v:shape>
        </w:pic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</w:t>
      </w:r>
      <w:r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(s) + 1 mol of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O(l) </w:t>
      </w:r>
      <w:r>
        <w:rPr>
          <w:rFonts w:ascii="Arial" w:hAnsi="Arial" w:cs="Arial"/>
        </w:rPr>
        <w:t> →   </w:t>
      </w:r>
      <w:r>
        <w:rPr>
          <w:rFonts w:ascii="Arial" w:hAnsi="Arial" w:cs="Arial"/>
        </w:rPr>
        <w:t>Na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(aq)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question is about the solubilty of some Group 1 halides.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Potassium fluoride is a soluble, white, crystalline solid used in etching glass. A Hess cycle can be used to calculate its enthalpy of solution, using data including enthalpies of hydration</w:t>
      </w:r>
      <w:r>
        <w:rPr>
          <w:rFonts w:ascii="Arial" w:hAnsi="Arial" w:cs="Arial"/>
        </w:rPr>
        <w:t xml:space="preserve"> of ions.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>      </w:t>
      </w:r>
      <w:r>
        <w:rPr>
          <w:rFonts w:ascii="Arial" w:hAnsi="Arial" w:cs="Arial"/>
        </w:rPr>
        <w:t xml:space="preserve">Define the term </w:t>
      </w:r>
      <w:r>
        <w:rPr>
          <w:rFonts w:ascii="Arial" w:hAnsi="Arial" w:cs="Arial"/>
          <w:b/>
          <w:bCs/>
        </w:rPr>
        <w:t>enthalpy of hydration</w:t>
      </w:r>
      <w:r>
        <w:rPr>
          <w:rFonts w:ascii="Arial" w:hAnsi="Arial" w:cs="Arial"/>
        </w:rPr>
        <w:t xml:space="preserve"> of an ion.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Consider the Hess cycle below.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pict>
          <v:shape id="_x0000_i1043" type="#_x0000_t75" style="width:469.5pt;height:242.25pt">
            <v:imagedata r:id="rId7" o:title=""/>
          </v:shape>
        </w:pic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(i)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Complete the cycle by filling in the empty box.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(ii)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Apply Hess's Law to obtain an expression for </w:t>
      </w:r>
      <w:r>
        <w:rPr>
          <w:rFonts w:ascii="Arial" w:hAnsi="Arial" w:cs="Arial"/>
        </w:rPr>
        <w:t>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vertAlign w:val="subscript"/>
        </w:rPr>
        <w:t>sol</w:t>
      </w:r>
      <w:r>
        <w:rPr>
          <w:rFonts w:ascii="Arial" w:hAnsi="Arial" w:cs="Arial"/>
        </w:rPr>
        <w:t xml:space="preserve"> in terms of </w:t>
      </w:r>
      <w:r>
        <w:rPr>
          <w:rFonts w:ascii="Arial" w:hAnsi="Arial" w:cs="Arial"/>
        </w:rPr>
        <w:t>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vertAlign w:val="subscript"/>
        </w:rPr>
        <w:t>sol</w:t>
      </w:r>
      <w:r>
        <w:rPr>
          <w:rFonts w:ascii="Arial" w:hAnsi="Arial" w:cs="Arial"/>
        </w:rPr>
        <w:t xml:space="preserve"> =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Give the name of the energy change </w:t>
      </w:r>
      <w:r>
        <w:rPr>
          <w:rFonts w:ascii="Arial" w:hAnsi="Arial" w:cs="Arial"/>
        </w:rPr>
        <w:t>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vertAlign w:val="subscript"/>
        </w:rPr>
        <w:t>1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(iv)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Referring to page </w:t>
      </w:r>
      <w:r>
        <w:rPr>
          <w:rFonts w:ascii="Arial" w:hAnsi="Arial" w:cs="Arial"/>
        </w:rPr>
        <w:t>12 of the data booklet and your answer to (ii), calculate the standard enthalpy of solution of potassium fluoride.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(c)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The standard enthalpy of solution of sodium chloride is + 3 kJ mol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1 g of sodium chloride was added to 250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w</w:t>
      </w:r>
      <w:r>
        <w:rPr>
          <w:rFonts w:ascii="Arial" w:hAnsi="Arial" w:cs="Arial"/>
        </w:rPr>
        <w:t xml:space="preserve">ater in a beaker and stirred with a thermometer graduated in intervals of 1 </w:t>
      </w:r>
      <w:r>
        <w:rPr>
          <w:rFonts w:ascii="Arial" w:hAnsi="Arial" w:cs="Arial"/>
        </w:rPr>
        <w:t>°</w:t>
      </w:r>
      <w:r>
        <w:rPr>
          <w:rFonts w:ascii="Arial" w:hAnsi="Arial" w:cs="Arial"/>
        </w:rPr>
        <w:t>C. Describe and explain what would happen to the reading on the thermometer as the sodium chloride dissolves. No calculation is required.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*(ii)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Explain, in terms of entropy changes, why</w:t>
      </w:r>
      <w:r>
        <w:rPr>
          <w:rFonts w:ascii="Arial" w:hAnsi="Arial" w:cs="Arial"/>
        </w:rPr>
        <w:t xml:space="preserve"> sodium chloride dissolves in water under standard conditions. No calculation is required.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(4)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</w:t>
      </w: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*(d)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Lithium iodide is generally much more soluble in organic solvents than lithium chloride. Explain this observation using values of lattice e</w:t>
      </w:r>
      <w:r>
        <w:rPr>
          <w:rFonts w:ascii="Arial" w:hAnsi="Arial" w:cs="Arial"/>
        </w:rPr>
        <w:t>nergies from your data booklet and your knowledge of the trend in ionic radii down Group 7.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(4)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...............</w:t>
      </w:r>
      <w:r>
        <w:rPr>
          <w:rFonts w:ascii="Arial" w:hAnsi="Arial" w:cs="Arial"/>
        </w:rPr>
        <w:t xml:space="preserve">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18 marks)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(a)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Crystals of hydrated cobalt(II) chloride, CoCl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.6H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O, lose water </w:t>
      </w:r>
      <w:r>
        <w:rPr>
          <w:rFonts w:ascii="Arial" w:hAnsi="Arial" w:cs="Arial"/>
        </w:rPr>
        <w:t>when they are heated, forming anhydrous cobalt(II) chloride, CoCl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4" type="#_x0000_t75" style="width:222.75pt;height:18pt">
            <v:imagedata r:id="rId8" o:title=""/>
          </v:shape>
        </w:pic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br/>
        <w:t>(i)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Calculate the entropy change of the system, </w:t>
      </w:r>
      <w:r>
        <w:rPr>
          <w:rFonts w:ascii="Arial" w:hAnsi="Arial" w:cs="Arial"/>
        </w:rPr>
        <w:pict>
          <v:shape id="_x0000_i1045" type="#_x0000_t75" style="width:45pt;height:16.5pt">
            <v:imagedata r:id="rId9" o:title=""/>
          </v:shape>
        </w:pict>
      </w:r>
      <w:r>
        <w:rPr>
          <w:rFonts w:ascii="Arial" w:hAnsi="Arial" w:cs="Arial"/>
        </w:rPr>
        <w:t xml:space="preserve">, at 298 K. Include a sign and units in your answer. You will need </w:t>
      </w:r>
      <w:r>
        <w:rPr>
          <w:rFonts w:ascii="Arial" w:hAnsi="Arial" w:cs="Arial"/>
        </w:rPr>
        <w:t>to refer to your data booklet.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(ii)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Explain whether the sign of your answer to (a)(i) is as expected from the equation for the reaction.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The standard enthalpy change for the reaction, </w:t>
      </w:r>
      <w:r>
        <w:rPr>
          <w:rFonts w:ascii="Arial" w:hAnsi="Arial" w:cs="Arial"/>
        </w:rPr>
        <w:pict>
          <v:shape id="_x0000_i1046" type="#_x0000_t75" style="width:30pt;height:12.75pt">
            <v:imagedata r:id="rId10" o:title=""/>
          </v:shape>
        </w:pict>
      </w:r>
      <w:r>
        <w:rPr>
          <w:rFonts w:ascii="Arial" w:hAnsi="Arial" w:cs="Arial"/>
        </w:rPr>
        <w:t>, is +88.1kJ mol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>       </w:t>
      </w:r>
      <w:r>
        <w:rPr>
          <w:rFonts w:ascii="Arial" w:hAnsi="Arial" w:cs="Arial"/>
        </w:rPr>
        <w:t xml:space="preserve">Calculate the entropy change in the surroundings, </w:t>
      </w:r>
      <w:r>
        <w:rPr>
          <w:rFonts w:ascii="Arial" w:hAnsi="Arial" w:cs="Arial"/>
        </w:rPr>
        <w:pict>
          <v:shape id="_x0000_i1047" type="#_x0000_t75" style="width:65.25pt;height:18pt">
            <v:imagedata r:id="rId11" o:title=""/>
          </v:shape>
        </w:pict>
      </w:r>
      <w:r>
        <w:rPr>
          <w:rFonts w:ascii="Arial" w:hAnsi="Arial" w:cs="Arial"/>
        </w:rPr>
        <w:t>, at 298 K for this reaction. Include a sign and units in your answer.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(iv)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Calculate the total entropy change, </w:t>
      </w:r>
      <w:r>
        <w:rPr>
          <w:rFonts w:ascii="Arial" w:hAnsi="Arial" w:cs="Arial"/>
        </w:rPr>
        <w:pict>
          <v:shape id="_x0000_i1048" type="#_x0000_t75" style="width:33.75pt;height:16.5pt">
            <v:imagedata r:id="rId12" o:title=""/>
          </v:shape>
        </w:pict>
      </w:r>
      <w:r>
        <w:rPr>
          <w:rFonts w:ascii="Arial" w:hAnsi="Arial" w:cs="Arial"/>
        </w:rPr>
        <w:t>, at 298 K for the reaction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(v)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Does your answer to (a)(iv) indicate whether hydrated cobalt(II) chloride can be stored at 298 K without decomposition?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Explain your answer.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A student attempted to measure the enthalpy change of solution of anhydrous cobalt(II) chloride by adding 2.00 g of cobalt(II) chloride to 50.0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water in a well-insulated container.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A temperature rise of 1.5 </w:t>
      </w:r>
      <w:r>
        <w:rPr>
          <w:rFonts w:ascii="Arial" w:hAnsi="Arial" w:cs="Arial"/>
        </w:rPr>
        <w:t>°</w:t>
      </w:r>
      <w:r>
        <w:rPr>
          <w:rFonts w:ascii="Arial" w:hAnsi="Arial" w:cs="Arial"/>
        </w:rPr>
        <w:t>C was recorded.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student used a balance which reads to 0.01g, a 50.0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pipette, and a thermometer which can be read to 0.25 </w:t>
      </w:r>
      <w:r>
        <w:rPr>
          <w:rFonts w:ascii="Arial" w:hAnsi="Arial" w:cs="Arial"/>
        </w:rPr>
        <w:t>°</w:t>
      </w:r>
      <w:r>
        <w:rPr>
          <w:rFonts w:ascii="Arial" w:hAnsi="Arial" w:cs="Arial"/>
        </w:rPr>
        <w:t>C.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Which measuring instrument should be changed to give a result which is closer to the accept</w:t>
      </w:r>
      <w:r>
        <w:rPr>
          <w:rFonts w:ascii="Arial" w:hAnsi="Arial" w:cs="Arial"/>
        </w:rPr>
        <w:t>ed value?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Justify your answer.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</w:t>
      </w:r>
      <w:r>
        <w:rPr>
          <w:rFonts w:ascii="Arial" w:hAnsi="Arial" w:cs="Arial"/>
        </w:rPr>
        <w:t xml:space="preserve">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Suggest ONE </w:t>
      </w:r>
      <w:r>
        <w:rPr>
          <w:rFonts w:ascii="Arial" w:hAnsi="Arial" w:cs="Arial"/>
          <w:b/>
          <w:bCs/>
        </w:rPr>
        <w:t>other</w:t>
      </w:r>
      <w:r>
        <w:rPr>
          <w:rFonts w:ascii="Arial" w:hAnsi="Arial" w:cs="Arial"/>
        </w:rPr>
        <w:t xml:space="preserve"> change the student could make to give a result which is closer to the accepted value.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Justify your </w:t>
      </w:r>
      <w:r>
        <w:rPr>
          <w:rFonts w:ascii="Arial" w:hAnsi="Arial" w:cs="Arial"/>
        </w:rPr>
        <w:t>suggestion.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*(c)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The lattice energies of magnesium chloride, MgCl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calcium chloride, CaCl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and strontium chloride, SrCl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are shown in the table below.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9" type="#_x0000_t75" style="width:327pt;height:114.75pt">
            <v:imagedata r:id="rId13" o:title=""/>
          </v:shape>
        </w:pic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Use data on ionic radii, from your data booklet, to explain the trend in these values.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Estimate a value for the lattice energy of cobalt(II) chloride, giving ONE piece of data to justify your estimate.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(4)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</w:t>
      </w: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</w:t>
      </w:r>
      <w:r>
        <w:rPr>
          <w:rFonts w:ascii="Arial" w:hAnsi="Arial" w:cs="Arial"/>
        </w:rPr>
        <w:t xml:space="preserve">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(ii)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Explain how lattice energy values, together with other data, can be used to predict the sol</w:t>
      </w:r>
      <w:r>
        <w:rPr>
          <w:rFonts w:ascii="Arial" w:hAnsi="Arial" w:cs="Arial"/>
        </w:rPr>
        <w:t>ubility of ionic compounds.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t>*(d)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Cobalt forms another chloride, CoCl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, but scientists predict that MgCl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ca</w:t>
      </w:r>
      <w:r>
        <w:rPr>
          <w:rFonts w:ascii="Arial" w:hAnsi="Arial" w:cs="Arial"/>
        </w:rPr>
        <w:t>nnot be made. Suggest a reason for this.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>         </w:t>
      </w:r>
      <w:r>
        <w:rPr>
          <w:rFonts w:ascii="Arial" w:hAnsi="Arial" w:cs="Arial"/>
        </w:rPr>
        <w:t>You should consider the enthalpy changes in the Born-Haber cycle, which provide evidence about why cobalt(III) chloride is known but magnesium(III) chloride is not.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</w:t>
      </w: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20 marks)</w:t>
      </w: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0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00000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C55"/>
    <w:rsid w:val="001051A9"/>
    <w:rsid w:val="008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2</cp:revision>
  <dcterms:created xsi:type="dcterms:W3CDTF">2015-01-29T17:00:00Z</dcterms:created>
  <dcterms:modified xsi:type="dcterms:W3CDTF">2015-01-29T17:00:00Z</dcterms:modified>
</cp:coreProperties>
</file>